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794F539A"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8F131E">
        <w:rPr>
          <w:rFonts w:ascii="Calibri" w:hAnsi="Calibri"/>
          <w:color w:val="00558C"/>
          <w:sz w:val="24"/>
          <w:szCs w:val="24"/>
        </w:rPr>
        <w:t>ARM22</w:t>
      </w:r>
      <w:r w:rsidR="00E47DCF">
        <w:rPr>
          <w:rFonts w:ascii="Calibri" w:hAnsi="Calibri"/>
          <w:color w:val="00558C"/>
          <w:sz w:val="24"/>
          <w:szCs w:val="24"/>
        </w:rPr>
        <w:t>-</w:t>
      </w:r>
      <w:r w:rsidR="008F131E">
        <w:rPr>
          <w:rFonts w:ascii="Calibri" w:hAnsi="Calibri"/>
          <w:color w:val="00558C"/>
          <w:sz w:val="24"/>
          <w:szCs w:val="24"/>
        </w:rPr>
        <w:t>7.</w:t>
      </w:r>
      <w:r w:rsidR="00E47DCF">
        <w:rPr>
          <w:rFonts w:ascii="Calibri" w:hAnsi="Calibri"/>
          <w:color w:val="00558C"/>
          <w:sz w:val="24"/>
          <w:szCs w:val="24"/>
        </w:rPr>
        <w:t>4.</w:t>
      </w:r>
      <w:r w:rsidR="0086497A">
        <w:rPr>
          <w:rFonts w:ascii="Calibri" w:hAnsi="Calibri"/>
          <w:color w:val="00558C"/>
          <w:sz w:val="24"/>
          <w:szCs w:val="24"/>
        </w:rPr>
        <w:t>11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36DED918" w:rsidR="0080294B" w:rsidRPr="00B0084A" w:rsidRDefault="00000000"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1"/>
            <w14:checkedState w14:val="2612" w14:font="MS Gothic"/>
            <w14:uncheckedState w14:val="2610" w14:font="MS Gothic"/>
          </w14:checkbox>
        </w:sdtPr>
        <w:sdtContent>
          <w:r w:rsidR="00525F0A">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1"/>
            <w14:checkedState w14:val="2612" w14:font="MS Gothic"/>
            <w14:uncheckedState w14:val="2610" w14:font="MS Gothic"/>
          </w14:checkbox>
        </w:sdtPr>
        <w:sdtContent>
          <w:r w:rsidR="0086497A">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0E1A3B65" w:rsidR="0080294B" w:rsidRPr="00525F0A" w:rsidRDefault="00000000" w:rsidP="00037DF4">
      <w:pPr>
        <w:pStyle w:val="BodyText"/>
        <w:tabs>
          <w:tab w:val="left" w:pos="1843"/>
        </w:tabs>
        <w:rPr>
          <w:rFonts w:ascii="Calibri" w:hAnsi="Calibri"/>
          <w:lang w:val="sv-SE"/>
        </w:rPr>
      </w:pPr>
      <w:sdt>
        <w:sdtPr>
          <w:rPr>
            <w:rFonts w:ascii="Calibri" w:hAnsi="Calibri" w:cs="Arial"/>
            <w:b/>
            <w:lang w:val="sv-SE"/>
          </w:rPr>
          <w:id w:val="1358232040"/>
          <w14:checkbox>
            <w14:checked w14:val="0"/>
            <w14:checkedState w14:val="2612" w14:font="MS Gothic"/>
            <w14:uncheckedState w14:val="2610" w14:font="MS Gothic"/>
          </w14:checkbox>
        </w:sdtPr>
        <w:sdtContent>
          <w:r w:rsidR="00221E08" w:rsidRPr="00525F0A">
            <w:rPr>
              <w:rFonts w:ascii="MS Gothic" w:eastAsia="MS Gothic" w:hAnsi="MS Gothic" w:cs="Arial" w:hint="eastAsia"/>
              <w:b/>
              <w:lang w:val="sv-SE"/>
            </w:rPr>
            <w:t>☐</w:t>
          </w:r>
        </w:sdtContent>
      </w:sdt>
      <w:r w:rsidR="0080294B" w:rsidRPr="00525F0A">
        <w:rPr>
          <w:rFonts w:ascii="Calibri" w:hAnsi="Calibri" w:cs="Arial"/>
          <w:lang w:val="sv-SE"/>
        </w:rPr>
        <w:t xml:space="preserve"> ENAV</w:t>
      </w:r>
      <w:r w:rsidR="0080294B" w:rsidRPr="00525F0A">
        <w:rPr>
          <w:rFonts w:ascii="Calibri" w:hAnsi="Calibri" w:cs="Arial"/>
          <w:b/>
          <w:lang w:val="sv-SE"/>
        </w:rPr>
        <w:tab/>
      </w:r>
      <w:sdt>
        <w:sdtPr>
          <w:rPr>
            <w:rFonts w:ascii="Calibri" w:hAnsi="Calibri" w:cs="Arial"/>
            <w:b/>
            <w:lang w:val="sv-SE"/>
          </w:rPr>
          <w:id w:val="1574472571"/>
          <w14:checkbox>
            <w14:checked w14:val="0"/>
            <w14:checkedState w14:val="2612" w14:font="MS Gothic"/>
            <w14:uncheckedState w14:val="2610" w14:font="MS Gothic"/>
          </w14:checkbox>
        </w:sdtPr>
        <w:sdtContent>
          <w:r w:rsidR="00221E08" w:rsidRPr="00525F0A">
            <w:rPr>
              <w:rFonts w:ascii="MS Gothic" w:eastAsia="MS Gothic" w:hAnsi="MS Gothic" w:cs="Arial" w:hint="eastAsia"/>
              <w:b/>
              <w:lang w:val="sv-SE"/>
            </w:rPr>
            <w:t>☐</w:t>
          </w:r>
        </w:sdtContent>
      </w:sdt>
      <w:r w:rsidR="0080294B" w:rsidRPr="00525F0A">
        <w:rPr>
          <w:rFonts w:ascii="Calibri" w:hAnsi="Calibri" w:cs="Arial"/>
          <w:lang w:val="sv-SE"/>
        </w:rPr>
        <w:t xml:space="preserve"> </w:t>
      </w:r>
      <w:r w:rsidR="003D2DC1" w:rsidRPr="00525F0A">
        <w:rPr>
          <w:rFonts w:ascii="Calibri" w:hAnsi="Calibri" w:cs="Arial"/>
          <w:lang w:val="sv-SE"/>
        </w:rPr>
        <w:t>VTS</w:t>
      </w:r>
      <w:r w:rsidR="0080294B" w:rsidRPr="00525F0A">
        <w:rPr>
          <w:rFonts w:ascii="Calibri" w:hAnsi="Calibri" w:cs="Arial"/>
          <w:lang w:val="sv-SE"/>
        </w:rPr>
        <w:tab/>
      </w:r>
      <w:r w:rsidR="0080294B" w:rsidRPr="00525F0A">
        <w:rPr>
          <w:rFonts w:ascii="Calibri" w:hAnsi="Calibri" w:cs="Arial"/>
          <w:lang w:val="sv-SE"/>
        </w:rPr>
        <w:tab/>
      </w:r>
      <w:r w:rsidR="0080294B" w:rsidRPr="00525F0A">
        <w:rPr>
          <w:rFonts w:ascii="Calibri" w:hAnsi="Calibri" w:cs="Arial"/>
          <w:lang w:val="sv-SE"/>
        </w:rPr>
        <w:tab/>
      </w:r>
      <w:r w:rsidR="0080294B" w:rsidRPr="00525F0A">
        <w:rPr>
          <w:rFonts w:ascii="Calibri" w:hAnsi="Calibri" w:cs="Arial"/>
          <w:lang w:val="sv-SE"/>
        </w:rPr>
        <w:tab/>
      </w:r>
      <w:r w:rsidR="0080294B" w:rsidRPr="00525F0A">
        <w:rPr>
          <w:rFonts w:ascii="Calibri" w:hAnsi="Calibri" w:cs="Arial"/>
          <w:lang w:val="sv-SE"/>
        </w:rPr>
        <w:tab/>
      </w:r>
      <w:sdt>
        <w:sdtPr>
          <w:rPr>
            <w:rFonts w:ascii="Calibri" w:hAnsi="Calibri" w:cs="Arial"/>
            <w:b/>
            <w:lang w:val="sv-SE"/>
          </w:rPr>
          <w:id w:val="1701977003"/>
          <w14:checkbox>
            <w14:checked w14:val="0"/>
            <w14:checkedState w14:val="2612" w14:font="MS Gothic"/>
            <w14:uncheckedState w14:val="2610" w14:font="MS Gothic"/>
          </w14:checkbox>
        </w:sdtPr>
        <w:sdtContent>
          <w:r w:rsidR="00110203" w:rsidRPr="00525F0A">
            <w:rPr>
              <w:rFonts w:ascii="MS Gothic" w:eastAsia="MS Gothic" w:hAnsi="MS Gothic" w:cs="Arial" w:hint="eastAsia"/>
              <w:b/>
              <w:lang w:val="sv-SE"/>
            </w:rPr>
            <w:t>☐</w:t>
          </w:r>
        </w:sdtContent>
      </w:sdt>
      <w:r w:rsidR="00110203" w:rsidRPr="00525F0A">
        <w:rPr>
          <w:rFonts w:ascii="Calibri" w:hAnsi="Calibri" w:cs="Arial"/>
          <w:lang w:val="sv-SE"/>
        </w:rPr>
        <w:t xml:space="preserve"> </w:t>
      </w:r>
      <w:r w:rsidR="0080294B" w:rsidRPr="00525F0A">
        <w:rPr>
          <w:rFonts w:ascii="Calibri" w:hAnsi="Calibri" w:cs="Arial"/>
          <w:lang w:val="sv-SE"/>
        </w:rPr>
        <w:t>Information</w:t>
      </w:r>
    </w:p>
    <w:p w14:paraId="3E1C02C4" w14:textId="77777777" w:rsidR="0080294B" w:rsidRPr="00525F0A" w:rsidRDefault="0080294B" w:rsidP="00FE5674">
      <w:pPr>
        <w:pStyle w:val="BodyText"/>
        <w:tabs>
          <w:tab w:val="left" w:pos="2835"/>
        </w:tabs>
        <w:rPr>
          <w:rFonts w:ascii="Calibri" w:hAnsi="Calibri"/>
          <w:lang w:val="sv-SE"/>
        </w:rPr>
      </w:pPr>
    </w:p>
    <w:p w14:paraId="4DD25FD9" w14:textId="2DE02F3E" w:rsidR="00A446C9" w:rsidRPr="00E47DCF" w:rsidRDefault="00A446C9" w:rsidP="00FE5674">
      <w:pPr>
        <w:pStyle w:val="BodyText"/>
        <w:tabs>
          <w:tab w:val="left" w:pos="2835"/>
        </w:tabs>
        <w:rPr>
          <w:rFonts w:ascii="Calibri" w:hAnsi="Calibri"/>
          <w:lang w:val="sv-SE"/>
        </w:rPr>
      </w:pPr>
      <w:r w:rsidRPr="00E47DCF">
        <w:rPr>
          <w:rFonts w:ascii="Calibri" w:hAnsi="Calibri"/>
          <w:b/>
          <w:bCs/>
          <w:color w:val="00558C"/>
          <w:sz w:val="24"/>
          <w:szCs w:val="24"/>
          <w:lang w:val="sv-SE"/>
        </w:rPr>
        <w:t>Agenda item</w:t>
      </w:r>
      <w:r w:rsidR="00037DF4" w:rsidRPr="00E47DCF">
        <w:rPr>
          <w:rFonts w:ascii="Calibri" w:hAnsi="Calibri"/>
          <w:lang w:val="sv-SE"/>
        </w:rPr>
        <w:t xml:space="preserve"> </w:t>
      </w:r>
      <w:r w:rsidR="00037DF4" w:rsidRPr="007A395D">
        <w:rPr>
          <w:rStyle w:val="FootnoteReference"/>
          <w:rFonts w:ascii="Calibri" w:hAnsi="Calibri"/>
          <w:sz w:val="22"/>
        </w:rPr>
        <w:footnoteReference w:id="2"/>
      </w:r>
      <w:r w:rsidR="001C44A3" w:rsidRPr="00E47DCF">
        <w:rPr>
          <w:rFonts w:ascii="Calibri" w:hAnsi="Calibri"/>
          <w:lang w:val="sv-SE"/>
        </w:rPr>
        <w:tab/>
      </w:r>
      <w:r w:rsidR="0080294B" w:rsidRPr="00E47DCF">
        <w:rPr>
          <w:rFonts w:ascii="Calibri" w:hAnsi="Calibri"/>
          <w:lang w:val="sv-SE"/>
        </w:rPr>
        <w:tab/>
      </w:r>
      <w:r w:rsidR="0080294B" w:rsidRPr="00E47DCF">
        <w:rPr>
          <w:rFonts w:ascii="Calibri" w:hAnsi="Calibri"/>
          <w:lang w:val="sv-SE"/>
        </w:rPr>
        <w:tab/>
      </w:r>
      <w:r w:rsidR="008F131E" w:rsidRPr="00E47DCF">
        <w:rPr>
          <w:rFonts w:ascii="Calibri" w:hAnsi="Calibri"/>
          <w:lang w:val="sv-SE"/>
        </w:rPr>
        <w:t>7.4</w:t>
      </w:r>
    </w:p>
    <w:p w14:paraId="1AB3E246" w14:textId="761D0CE6"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86497A">
        <w:rPr>
          <w:rFonts w:ascii="Calibri" w:hAnsi="Calibri"/>
        </w:rPr>
        <w:t>….</w:t>
      </w:r>
    </w:p>
    <w:p w14:paraId="01FC5420" w14:textId="686F7419"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8F131E">
        <w:rPr>
          <w:rFonts w:ascii="Calibri" w:hAnsi="Calibri"/>
        </w:rPr>
        <w:t>IHO NIPWG Chair</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4834080C" w14:textId="64F2C27C" w:rsidR="00A446C9" w:rsidRPr="00605E43" w:rsidRDefault="008F131E" w:rsidP="0035243F">
      <w:pPr>
        <w:pStyle w:val="Title"/>
      </w:pPr>
      <w:r>
        <w:t>IHO S-125 progress report</w:t>
      </w:r>
    </w:p>
    <w:p w14:paraId="2CC2DB54" w14:textId="6ABA8E01" w:rsidR="009874F9" w:rsidRDefault="00A446C9" w:rsidP="009874F9">
      <w:pPr>
        <w:pStyle w:val="Heading1"/>
      </w:pPr>
      <w:r w:rsidRPr="00B661C7">
        <w:t>Summary</w:t>
      </w:r>
    </w:p>
    <w:p w14:paraId="2AACF514" w14:textId="4141578E" w:rsidR="008F131E" w:rsidRPr="008F131E" w:rsidRDefault="008F131E" w:rsidP="008F131E">
      <w:pPr>
        <w:pStyle w:val="BodyText"/>
      </w:pPr>
      <w:r>
        <w:t xml:space="preserve">This is a progress report on the actions related to S-125 within IHO. </w:t>
      </w:r>
    </w:p>
    <w:p w14:paraId="53733F03" w14:textId="77777777" w:rsidR="00A446C9" w:rsidRPr="007A395D" w:rsidRDefault="00A446C9" w:rsidP="00605E43">
      <w:pPr>
        <w:pStyle w:val="Heading1"/>
      </w:pPr>
      <w:r w:rsidRPr="007A395D">
        <w:t>Background</w:t>
      </w:r>
    </w:p>
    <w:p w14:paraId="4213A589" w14:textId="5DAA868D" w:rsidR="008F131E" w:rsidRDefault="008F131E" w:rsidP="00A446C9">
      <w:pPr>
        <w:pStyle w:val="BodyText"/>
        <w:rPr>
          <w:rFonts w:ascii="Calibri" w:hAnsi="Calibri"/>
        </w:rPr>
      </w:pPr>
      <w:r>
        <w:rPr>
          <w:rFonts w:ascii="Calibri" w:hAnsi="Calibri"/>
        </w:rPr>
        <w:t xml:space="preserve">Although S-125 is owned by NIPWG, the specification has, for many years, been developed by IALA ARM, as a subset of S-201. In 2025, a release candidate (RC) of S-125 1.0.0 was returned to IHO NIPWG. </w:t>
      </w:r>
    </w:p>
    <w:p w14:paraId="1743237E" w14:textId="5CAAF973" w:rsidR="00D41D84" w:rsidRDefault="008F131E" w:rsidP="00A446C9">
      <w:pPr>
        <w:pStyle w:val="BodyText"/>
        <w:rPr>
          <w:rFonts w:ascii="Calibri" w:hAnsi="Calibri"/>
        </w:rPr>
      </w:pPr>
      <w:r>
        <w:rPr>
          <w:rFonts w:ascii="Calibri" w:hAnsi="Calibri"/>
        </w:rPr>
        <w:t xml:space="preserve">Upon receiving the S-125 1.0.0 RC, IHO NIPWG regained an active role in regards of development of S-125. An S-125 Task Group </w:t>
      </w:r>
      <w:r w:rsidR="00D41D84">
        <w:rPr>
          <w:rFonts w:ascii="Calibri" w:hAnsi="Calibri"/>
        </w:rPr>
        <w:t xml:space="preserve">(TG) </w:t>
      </w:r>
      <w:r>
        <w:rPr>
          <w:rFonts w:ascii="Calibri" w:hAnsi="Calibri"/>
        </w:rPr>
        <w:t>was established, and expert contributors from both IHO NIP</w:t>
      </w:r>
      <w:r w:rsidR="00D41D84">
        <w:rPr>
          <w:rFonts w:ascii="Calibri" w:hAnsi="Calibri"/>
        </w:rPr>
        <w:t>W</w:t>
      </w:r>
      <w:r>
        <w:rPr>
          <w:rFonts w:ascii="Calibri" w:hAnsi="Calibri"/>
        </w:rPr>
        <w:t>G and IALA ARM were invited.</w:t>
      </w:r>
      <w:r w:rsidR="00D41D84">
        <w:rPr>
          <w:rFonts w:ascii="Calibri" w:hAnsi="Calibri"/>
        </w:rPr>
        <w:t xml:space="preserve"> S-125 TG Task Group lead is Caroline Johansson (Sjöfartsverket, Sweden) and co-lead is Dave Lewald (US Coast Guard). </w:t>
      </w:r>
    </w:p>
    <w:p w14:paraId="3F301838" w14:textId="3C766481" w:rsidR="008F131E" w:rsidRDefault="00D41D84" w:rsidP="00A446C9">
      <w:pPr>
        <w:pStyle w:val="BodyText"/>
        <w:rPr>
          <w:rFonts w:ascii="Calibri" w:hAnsi="Calibri"/>
        </w:rPr>
      </w:pPr>
      <w:r>
        <w:rPr>
          <w:rFonts w:ascii="Calibri" w:hAnsi="Calibri"/>
        </w:rPr>
        <w:t>S-125 TG reports to IHO NIPWG, and the main task is to finalize and support the IHO approval process of S-125. In March 2026, S-125 edition 1.0.0 was submitted to HSSC 18 for approval. Within IHO, edition 1.0.0 is the first recognized publication of a specification. This edition is aimed for extensive testing by stakeholders, before the production-ready (2.0.0) version is published.</w:t>
      </w:r>
    </w:p>
    <w:p w14:paraId="56F75980" w14:textId="77777777" w:rsidR="00B90ABE" w:rsidRDefault="00B90ABE" w:rsidP="00B90ABE">
      <w:pPr>
        <w:pStyle w:val="BodyText"/>
      </w:pPr>
      <w:r>
        <w:t xml:space="preserve">Edition 1.0.0 of S-125 was submitted for approval by HSSC 18 (meeting in Poland, May 18-22 2026). As the edition 1.0.0 does not need Member state approval according to IHO resolution 2/2007, this edition can be approved by the HSSC- meeting. </w:t>
      </w:r>
    </w:p>
    <w:p w14:paraId="4EA34628" w14:textId="1830E2A9" w:rsidR="00B90ABE" w:rsidRDefault="00B90ABE" w:rsidP="00B90ABE">
      <w:pPr>
        <w:pStyle w:val="BodyText"/>
      </w:pPr>
      <w:r>
        <w:t xml:space="preserve">Edition 1.0.0 is not yet a production-ready version, and this version is not yet considered mature enough for inclusion in ECDIS. It is assumed active development work continues towards the approval of a 2.0.0 version. Approval of the 2.0.0 version will need endorsement by HSSC followed by a Member State vote. </w:t>
      </w:r>
    </w:p>
    <w:p w14:paraId="5286094A" w14:textId="77777777" w:rsidR="00B90ABE" w:rsidRDefault="00B90ABE" w:rsidP="00B90ABE">
      <w:pPr>
        <w:pStyle w:val="BodyText"/>
      </w:pPr>
    </w:p>
    <w:p w14:paraId="68C74851" w14:textId="4CC59230" w:rsidR="00B90ABE" w:rsidRDefault="00B90ABE" w:rsidP="00B90ABE">
      <w:pPr>
        <w:pStyle w:val="BodyText"/>
      </w:pPr>
      <w:r>
        <w:t>A release in GitHub reflects the "final" version which was submitted to HSSC;</w:t>
      </w:r>
    </w:p>
    <w:p w14:paraId="402E38D2" w14:textId="77777777" w:rsidR="00B90ABE" w:rsidRDefault="00B90ABE" w:rsidP="00B90ABE">
      <w:pPr>
        <w:pStyle w:val="BodyText"/>
      </w:pPr>
      <w:hyperlink r:id="rId11" w:history="1">
        <w:r w:rsidRPr="00EF5028">
          <w:rPr>
            <w:rStyle w:val="Hyperlink"/>
          </w:rPr>
          <w:t>https://github.com/iho-ohi/S-125-Product-Specification-Development/releases/tag/ed1.0.0</w:t>
        </w:r>
      </w:hyperlink>
    </w:p>
    <w:p w14:paraId="041E9135" w14:textId="7DAD18FA" w:rsidR="00A446C9" w:rsidRDefault="00A446C9" w:rsidP="00605E43">
      <w:pPr>
        <w:pStyle w:val="Heading1"/>
      </w:pPr>
      <w:r w:rsidRPr="007A395D">
        <w:lastRenderedPageBreak/>
        <w:t>Discussion</w:t>
      </w:r>
    </w:p>
    <w:p w14:paraId="400D1379" w14:textId="57C61EEB" w:rsidR="00B90ABE" w:rsidRDefault="00B90ABE" w:rsidP="00D41D84">
      <w:pPr>
        <w:pStyle w:val="BodyText"/>
      </w:pPr>
      <w:r>
        <w:t>When established, S-125 TG was faced with some quite complex questions. The first big discussion was related to use-cases, and which use-cases to support. For the 1.0.0 edition of S-125, some temporary modifications were needed, as the discussion needs more time to mature.</w:t>
      </w:r>
    </w:p>
    <w:p w14:paraId="7C09272C" w14:textId="26549147" w:rsidR="00375718" w:rsidRDefault="00375718" w:rsidP="00B90ABE">
      <w:pPr>
        <w:pStyle w:val="Heading2"/>
      </w:pPr>
      <w:r>
        <w:t>Technical validation and aligment to IHO GI-registry</w:t>
      </w:r>
    </w:p>
    <w:p w14:paraId="63938943" w14:textId="008BC551" w:rsidR="00375718" w:rsidRPr="00375718" w:rsidRDefault="00375718" w:rsidP="00375718">
      <w:pPr>
        <w:pStyle w:val="BodyText"/>
      </w:pPr>
      <w:r>
        <w:t xml:space="preserve">During technical validation of S-125, concept-entries were added to IHO registry, and changes were made to the machine-readable files to reflect those changes. Definitions of concepts and casing of entries were updated according to IHO registry. This validation process has resulted in changes to the data model, which might be considered also in S-201. </w:t>
      </w:r>
    </w:p>
    <w:p w14:paraId="1A3A223C" w14:textId="38E9CA78" w:rsidR="00B90ABE" w:rsidRDefault="00B90ABE" w:rsidP="00B90ABE">
      <w:pPr>
        <w:pStyle w:val="Heading2"/>
      </w:pPr>
      <w:r>
        <w:t>Multiple Use-cases and the ecdis use-case</w:t>
      </w:r>
    </w:p>
    <w:p w14:paraId="480B966C" w14:textId="006C48B9" w:rsidR="00B90ABE" w:rsidRDefault="00B90ABE" w:rsidP="00B90ABE">
      <w:pPr>
        <w:pStyle w:val="BodyText"/>
      </w:pPr>
      <w:r>
        <w:t xml:space="preserve">Although multiple use-cases are identified and can be supported, the IHO specification shall focus on specifying use of S-125 within ECDIS / ENDS. S-125 is recognized in the ECDIS interoperability specification S-98, as an optional product. S-125 is optional, because it cannot be defined as mandatory in ECDIS before the production ready 2.0.0 edition is published. Mandatory / optional in this regard refers to whether a type-approved ECDIS must or may support display of S-125. S-98 only defines the requirements on technical capability of an ECDIS, and this does not relate to any need to use such a product when navigating. </w:t>
      </w:r>
    </w:p>
    <w:p w14:paraId="4E80ACA3" w14:textId="4164833D" w:rsidR="00B90ABE" w:rsidRDefault="00B90ABE" w:rsidP="00B90ABE">
      <w:pPr>
        <w:pStyle w:val="Heading2"/>
      </w:pPr>
      <w:r>
        <w:t>portrayal and reduced interoperability</w:t>
      </w:r>
    </w:p>
    <w:p w14:paraId="3F5F7FF6" w14:textId="77777777" w:rsidR="00375718" w:rsidRDefault="00375718" w:rsidP="00375718">
      <w:pPr>
        <w:pStyle w:val="BodyText"/>
      </w:pPr>
      <w:r>
        <w:t xml:space="preserve">HSSC 17 decided to reduce interoperability in the </w:t>
      </w:r>
      <w:r w:rsidRPr="00375718">
        <w:t>1st Generation S-100 ECDIS</w:t>
      </w:r>
      <w:r>
        <w:t xml:space="preserve">. It is still assumed a </w:t>
      </w:r>
      <w:r w:rsidRPr="00375718">
        <w:t>2nd Generation S-100 ECDIS</w:t>
      </w:r>
      <w:r>
        <w:t xml:space="preserve"> will have </w:t>
      </w:r>
      <w:r w:rsidRPr="00375718">
        <w:t>extended interoperability</w:t>
      </w:r>
      <w:r>
        <w:t>. Therefore, there is a need to s</w:t>
      </w:r>
      <w:r w:rsidRPr="00375718">
        <w:t>upport ECDIS use in 1st Generation ECDIS</w:t>
      </w:r>
      <w:r>
        <w:t xml:space="preserve"> (overlay) and consider </w:t>
      </w:r>
      <w:r w:rsidRPr="00375718">
        <w:t>future support for 2nd Generation ECDIS use (interoperability)</w:t>
      </w:r>
      <w:r>
        <w:t>.</w:t>
      </w:r>
    </w:p>
    <w:p w14:paraId="2F35109E" w14:textId="16FFA71A" w:rsidR="00B90ABE" w:rsidRDefault="00375718" w:rsidP="00375718">
      <w:pPr>
        <w:pStyle w:val="BodyText"/>
      </w:pPr>
      <w:r>
        <w:t xml:space="preserve">Even though ECDIS is the main use-case, </w:t>
      </w:r>
      <w:r w:rsidRPr="00375718">
        <w:t>support for secondary use-cases and alignment with S-201 (and S-101)</w:t>
      </w:r>
      <w:r>
        <w:t xml:space="preserve"> shall be considered as far as practicable. In order to support ECDIS use as an overlay, some modification had to be made to the data model. </w:t>
      </w:r>
    </w:p>
    <w:p w14:paraId="2D7B2266" w14:textId="1AFD19C6" w:rsidR="00375718" w:rsidRDefault="00375718" w:rsidP="00375718">
      <w:pPr>
        <w:pStyle w:val="BodyText"/>
      </w:pPr>
      <w:r>
        <w:t>The current data model was left intact, but the old extensive portrayal had to be simplified. A new feature "AtonStatusIndication" and related simplified portrayal of only status indication was used instead.</w:t>
      </w:r>
    </w:p>
    <w:p w14:paraId="14CAC650" w14:textId="45AA9C58" w:rsidR="00375718" w:rsidRDefault="00375718" w:rsidP="00375718">
      <w:pPr>
        <w:pStyle w:val="BodyText"/>
      </w:pPr>
      <w:r>
        <w:t xml:space="preserve">This means, that S-125 1.0.0 RC can contain all the data, but only </w:t>
      </w:r>
      <w:r w:rsidRPr="00375718">
        <w:rPr>
          <w:i/>
          <w:iCs/>
        </w:rPr>
        <w:t>AtonStatusIndication</w:t>
      </w:r>
      <w:r>
        <w:t xml:space="preserve"> is used in ECDIS to drive portrayal. The benefit of this approach is, that S-125 can support both use as an overlay in ECDIS and secondary use-cases. The use of the full data model in ECDIS will need further alignment between S-125 and S-101 (which also means consideration of S-201). There are still differences between S-101 and S-201, which must be further discussed.</w:t>
      </w:r>
    </w:p>
    <w:p w14:paraId="10D188F8" w14:textId="77777777" w:rsidR="00375718" w:rsidRDefault="00375718" w:rsidP="00B90ABE">
      <w:pPr>
        <w:pStyle w:val="BodyText"/>
      </w:pPr>
    </w:p>
    <w:p w14:paraId="509AFC6C" w14:textId="7251DD44" w:rsidR="00375718" w:rsidRDefault="00375718" w:rsidP="00375718">
      <w:pPr>
        <w:pStyle w:val="BodyText"/>
        <w:jc w:val="center"/>
      </w:pPr>
      <w:r w:rsidRPr="00375718">
        <w:rPr>
          <w:noProof/>
        </w:rPr>
        <w:lastRenderedPageBreak/>
        <w:drawing>
          <wp:inline distT="0" distB="0" distL="0" distR="0" wp14:anchorId="1B47E854" wp14:editId="791D411A">
            <wp:extent cx="5801400" cy="2838450"/>
            <wp:effectExtent l="0" t="0" r="8890" b="0"/>
            <wp:docPr id="192497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7035" name=""/>
                    <pic:cNvPicPr/>
                  </pic:nvPicPr>
                  <pic:blipFill>
                    <a:blip r:embed="rId12"/>
                    <a:stretch>
                      <a:fillRect/>
                    </a:stretch>
                  </pic:blipFill>
                  <pic:spPr>
                    <a:xfrm>
                      <a:off x="0" y="0"/>
                      <a:ext cx="5823534" cy="2849280"/>
                    </a:xfrm>
                    <a:prstGeom prst="rect">
                      <a:avLst/>
                    </a:prstGeom>
                  </pic:spPr>
                </pic:pic>
              </a:graphicData>
            </a:graphic>
          </wp:inline>
        </w:drawing>
      </w:r>
    </w:p>
    <w:p w14:paraId="782F6BB0" w14:textId="77777777" w:rsidR="00375718" w:rsidRDefault="00375718" w:rsidP="00B90ABE">
      <w:pPr>
        <w:pStyle w:val="BodyText"/>
      </w:pPr>
    </w:p>
    <w:p w14:paraId="7034DB3B" w14:textId="20CCF7A0" w:rsidR="00375718" w:rsidRPr="00B90ABE" w:rsidRDefault="00375718" w:rsidP="00375718">
      <w:pPr>
        <w:pStyle w:val="BodyText"/>
        <w:jc w:val="center"/>
      </w:pPr>
      <w:r w:rsidRPr="00375718">
        <w:rPr>
          <w:noProof/>
        </w:rPr>
        <w:drawing>
          <wp:inline distT="0" distB="0" distL="0" distR="0" wp14:anchorId="72447C9B" wp14:editId="0C30889E">
            <wp:extent cx="5743247" cy="3005848"/>
            <wp:effectExtent l="0" t="0" r="0" b="4445"/>
            <wp:docPr id="236530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30625" name=""/>
                    <pic:cNvPicPr/>
                  </pic:nvPicPr>
                  <pic:blipFill>
                    <a:blip r:embed="rId13"/>
                    <a:stretch>
                      <a:fillRect/>
                    </a:stretch>
                  </pic:blipFill>
                  <pic:spPr>
                    <a:xfrm>
                      <a:off x="0" y="0"/>
                      <a:ext cx="5762249" cy="3015793"/>
                    </a:xfrm>
                    <a:prstGeom prst="rect">
                      <a:avLst/>
                    </a:prstGeom>
                  </pic:spPr>
                </pic:pic>
              </a:graphicData>
            </a:graphic>
          </wp:inline>
        </w:drawing>
      </w:r>
    </w:p>
    <w:p w14:paraId="0D00767A" w14:textId="5278E750" w:rsidR="00B90ABE" w:rsidRDefault="00B90ABE" w:rsidP="00B90ABE">
      <w:pPr>
        <w:pStyle w:val="Heading2"/>
      </w:pPr>
      <w:r>
        <w:t>change types and the ecdis use case</w:t>
      </w:r>
    </w:p>
    <w:p w14:paraId="091262F4" w14:textId="4CCB97B4" w:rsidR="00FB29F9" w:rsidRPr="00FB29F9" w:rsidRDefault="00FB29F9" w:rsidP="00375718">
      <w:pPr>
        <w:pStyle w:val="BodyText"/>
      </w:pPr>
      <w:r>
        <w:t xml:space="preserve">Change types were discussed by the S-125 TG. The need for a new change type "Permanent Change" was identified, and such type added to S-125 Change Types. Anyway, due to restrictions related to ECDIS portrayal, the acronym PC would become similar for both the existing item </w:t>
      </w:r>
      <w:r w:rsidRPr="00FB29F9">
        <w:rPr>
          <w:i/>
          <w:iCs/>
        </w:rPr>
        <w:t>Proposed Change</w:t>
      </w:r>
      <w:r>
        <w:t xml:space="preserve"> and the new item </w:t>
      </w:r>
      <w:r w:rsidRPr="00FB29F9">
        <w:rPr>
          <w:i/>
          <w:iCs/>
        </w:rPr>
        <w:t>Permanent Change</w:t>
      </w:r>
      <w:r>
        <w:rPr>
          <w:i/>
          <w:iCs/>
        </w:rPr>
        <w:t>.</w:t>
      </w:r>
      <w:r>
        <w:t xml:space="preserve"> Alternative names for </w:t>
      </w:r>
      <w:r w:rsidRPr="00FB29F9">
        <w:rPr>
          <w:i/>
          <w:iCs/>
        </w:rPr>
        <w:t>permanent change</w:t>
      </w:r>
      <w:r>
        <w:t xml:space="preserve"> were considered, but it was decided to keep permanent change as most descriptive, and due to the registered entry.  It was determined, that a Proposed change, although important in some use-cases, might be of less importance in ECDIS- use, and therefore the new entry Permanent Change was given the PC- acronym in portrayal. </w:t>
      </w:r>
    </w:p>
    <w:p w14:paraId="0687DA64" w14:textId="6770731F" w:rsidR="00FB29F9" w:rsidRDefault="00FB29F9" w:rsidP="00375718">
      <w:pPr>
        <w:pStyle w:val="BodyText"/>
      </w:pPr>
    </w:p>
    <w:p w14:paraId="6827B7EF" w14:textId="77777777" w:rsidR="004372ED" w:rsidRDefault="004372ED" w:rsidP="00375718">
      <w:pPr>
        <w:pStyle w:val="BodyText"/>
      </w:pPr>
    </w:p>
    <w:p w14:paraId="7ABBE05F" w14:textId="1F1A1F3A" w:rsidR="004372ED" w:rsidRDefault="004372ED" w:rsidP="00375718">
      <w:pPr>
        <w:pStyle w:val="BodyText"/>
      </w:pPr>
    </w:p>
    <w:p w14:paraId="350B2F42" w14:textId="516ED81B" w:rsidR="00D41D84" w:rsidRDefault="002A08DE" w:rsidP="002A08DE">
      <w:pPr>
        <w:pStyle w:val="BodyText"/>
      </w:pPr>
      <w:r w:rsidRPr="002A08DE">
        <w:rPr>
          <w:noProof/>
        </w:rPr>
        <w:lastRenderedPageBreak/>
        <w:drawing>
          <wp:inline distT="0" distB="0" distL="0" distR="0" wp14:anchorId="2077A38B" wp14:editId="12AF6963">
            <wp:extent cx="4690534" cy="6629400"/>
            <wp:effectExtent l="0" t="0" r="0" b="0"/>
            <wp:docPr id="11434328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32896" name=""/>
                    <pic:cNvPicPr/>
                  </pic:nvPicPr>
                  <pic:blipFill>
                    <a:blip r:embed="rId14"/>
                    <a:stretch>
                      <a:fillRect/>
                    </a:stretch>
                  </pic:blipFill>
                  <pic:spPr>
                    <a:xfrm>
                      <a:off x="0" y="0"/>
                      <a:ext cx="4696311" cy="6637564"/>
                    </a:xfrm>
                    <a:prstGeom prst="rect">
                      <a:avLst/>
                    </a:prstGeom>
                  </pic:spPr>
                </pic:pic>
              </a:graphicData>
            </a:graphic>
          </wp:inline>
        </w:drawing>
      </w:r>
      <w:r w:rsidR="00B90ABE">
        <w:t xml:space="preserve"> </w:t>
      </w:r>
    </w:p>
    <w:p w14:paraId="7A8D2F27" w14:textId="4A068F11" w:rsidR="00A446C9" w:rsidRPr="007A395D" w:rsidRDefault="00A446C9" w:rsidP="004372ED">
      <w:pPr>
        <w:pStyle w:val="Heading1"/>
        <w:numPr>
          <w:ilvl w:val="0"/>
          <w:numId w:val="0"/>
        </w:numPr>
        <w:ind w:left="709"/>
      </w:pPr>
      <w:r w:rsidRPr="007A395D">
        <w:t>Action requested of the Committee</w:t>
      </w:r>
    </w:p>
    <w:p w14:paraId="1556E528" w14:textId="1C73A5FF" w:rsidR="00F25BF4" w:rsidRDefault="00F25BF4" w:rsidP="00A446C9">
      <w:pPr>
        <w:pStyle w:val="BodyText"/>
        <w:rPr>
          <w:rFonts w:ascii="Calibri" w:hAnsi="Calibri"/>
        </w:rPr>
      </w:pPr>
      <w:r w:rsidRPr="007A395D">
        <w:rPr>
          <w:rFonts w:ascii="Calibri" w:hAnsi="Calibri"/>
        </w:rPr>
        <w:t>The Committee is requested to:</w:t>
      </w:r>
    </w:p>
    <w:p w14:paraId="17DF04F5" w14:textId="38DD9605" w:rsidR="00896A8C" w:rsidRDefault="002A08DE" w:rsidP="002A08DE">
      <w:pPr>
        <w:pStyle w:val="BodyText"/>
        <w:numPr>
          <w:ilvl w:val="0"/>
          <w:numId w:val="75"/>
        </w:numPr>
        <w:rPr>
          <w:rFonts w:ascii="Calibri" w:hAnsi="Calibri"/>
        </w:rPr>
      </w:pPr>
      <w:r>
        <w:rPr>
          <w:rFonts w:ascii="Calibri" w:hAnsi="Calibri"/>
        </w:rPr>
        <w:t xml:space="preserve">Note the progress </w:t>
      </w:r>
      <w:r w:rsidR="00896A8C">
        <w:rPr>
          <w:rFonts w:ascii="Calibri" w:hAnsi="Calibri"/>
        </w:rPr>
        <w:t>of S-125 1.0.0 approval process</w:t>
      </w:r>
    </w:p>
    <w:p w14:paraId="257E1C42" w14:textId="7C0151B6" w:rsidR="002A08DE" w:rsidRDefault="00896A8C" w:rsidP="002A08DE">
      <w:pPr>
        <w:pStyle w:val="BodyText"/>
        <w:numPr>
          <w:ilvl w:val="0"/>
          <w:numId w:val="75"/>
        </w:numPr>
        <w:rPr>
          <w:rFonts w:ascii="Calibri" w:hAnsi="Calibri"/>
        </w:rPr>
      </w:pPr>
      <w:r>
        <w:rPr>
          <w:rFonts w:ascii="Calibri" w:hAnsi="Calibri"/>
        </w:rPr>
        <w:t xml:space="preserve">Note the </w:t>
      </w:r>
      <w:r w:rsidR="002A08DE">
        <w:rPr>
          <w:rFonts w:ascii="Calibri" w:hAnsi="Calibri"/>
        </w:rPr>
        <w:t>discussions related to S-125</w:t>
      </w:r>
      <w:r>
        <w:rPr>
          <w:rFonts w:ascii="Calibri" w:hAnsi="Calibri"/>
        </w:rPr>
        <w:t xml:space="preserve"> use-cases and ECDIS portrayal</w:t>
      </w:r>
    </w:p>
    <w:p w14:paraId="6074C299" w14:textId="6F0E712F" w:rsidR="002A08DE" w:rsidRDefault="002A08DE" w:rsidP="002A08DE">
      <w:pPr>
        <w:pStyle w:val="BodyText"/>
        <w:numPr>
          <w:ilvl w:val="0"/>
          <w:numId w:val="75"/>
        </w:numPr>
        <w:rPr>
          <w:rFonts w:ascii="Calibri" w:hAnsi="Calibri"/>
        </w:rPr>
      </w:pPr>
      <w:r>
        <w:rPr>
          <w:rFonts w:ascii="Calibri" w:hAnsi="Calibri"/>
        </w:rPr>
        <w:t xml:space="preserve">Provide </w:t>
      </w:r>
      <w:r w:rsidR="00896A8C">
        <w:rPr>
          <w:rFonts w:ascii="Calibri" w:hAnsi="Calibri"/>
        </w:rPr>
        <w:t xml:space="preserve">any </w:t>
      </w:r>
      <w:r>
        <w:rPr>
          <w:rFonts w:ascii="Calibri" w:hAnsi="Calibri"/>
        </w:rPr>
        <w:t xml:space="preserve">feedback to </w:t>
      </w:r>
      <w:r w:rsidR="00896A8C">
        <w:rPr>
          <w:rFonts w:ascii="Calibri" w:hAnsi="Calibri"/>
        </w:rPr>
        <w:t>NIPWG / S-125 TG</w:t>
      </w:r>
    </w:p>
    <w:p w14:paraId="25541355" w14:textId="100FCD14" w:rsidR="00896A8C" w:rsidRPr="007A395D" w:rsidRDefault="00896A8C" w:rsidP="002A08DE">
      <w:pPr>
        <w:pStyle w:val="BodyText"/>
        <w:numPr>
          <w:ilvl w:val="0"/>
          <w:numId w:val="75"/>
        </w:numPr>
        <w:rPr>
          <w:rFonts w:ascii="Calibri" w:hAnsi="Calibri"/>
        </w:rPr>
      </w:pPr>
      <w:r>
        <w:rPr>
          <w:rFonts w:ascii="Calibri" w:hAnsi="Calibri"/>
        </w:rPr>
        <w:t>Consider the impact on S-201 an consider the future management processes to ensure needed harmonization between S-101, S-125 and S-201</w:t>
      </w:r>
    </w:p>
    <w:sectPr w:rsidR="00896A8C" w:rsidRPr="007A395D" w:rsidSect="0082480E">
      <w:headerReference w:type="default" r:id="rId15"/>
      <w:footerReference w:type="default" r:id="rId16"/>
      <w:headerReference w:type="first" r:id="rId17"/>
      <w:footerReference w:type="firs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71F69" w14:textId="77777777" w:rsidR="00816F7E" w:rsidRDefault="00816F7E" w:rsidP="00362CD9">
      <w:r>
        <w:separator/>
      </w:r>
    </w:p>
  </w:endnote>
  <w:endnote w:type="continuationSeparator" w:id="0">
    <w:p w14:paraId="1A9359E5" w14:textId="77777777" w:rsidR="00816F7E" w:rsidRDefault="00816F7E"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7D1FEF64" w:rsidR="004533B7" w:rsidRPr="00C907DF" w:rsidRDefault="00896A8C" w:rsidP="004533B7">
    <w:pPr>
      <w:pStyle w:val="Footerportrait"/>
    </w:pPr>
    <w:fldSimple w:instr=" STYLEREF  Title  \* MERGEFORMAT ">
      <w:r w:rsidR="0086497A">
        <w:t>IHO S-125 progress report</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57FEA388" w:rsidR="00637047" w:rsidRPr="00C907DF" w:rsidRDefault="002A08DE" w:rsidP="00637047">
    <w:pPr>
      <w:pStyle w:val="Footerportrait"/>
    </w:pPr>
    <w:fldSimple w:instr=" STYLEREF  Title  \* MERGEFORMAT ">
      <w:r>
        <w:t>IHO S-125 progress report</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8BD0" w14:textId="77777777" w:rsidR="00816F7E" w:rsidRDefault="00816F7E" w:rsidP="00362CD9">
      <w:r>
        <w:separator/>
      </w:r>
    </w:p>
  </w:footnote>
  <w:footnote w:type="continuationSeparator" w:id="0">
    <w:p w14:paraId="602E809E" w14:textId="77777777" w:rsidR="00816F7E" w:rsidRDefault="00816F7E"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A21C71"/>
    <w:multiLevelType w:val="hybridMultilevel"/>
    <w:tmpl w:val="842E3A1C"/>
    <w:lvl w:ilvl="0" w:tplc="AE7E8544">
      <w:start w:val="1"/>
      <w:numFmt w:val="decimal"/>
      <w:lvlText w:val="APPENDIX %1"/>
      <w:lvlJc w:val="left"/>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67C776D"/>
    <w:multiLevelType w:val="multilevel"/>
    <w:tmpl w:val="575A8BD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ind w:left="1281" w:hanging="567"/>
      </w:pPr>
      <w:rPr>
        <w:rFonts w:hint="default"/>
      </w:rPr>
    </w:lvl>
    <w:lvl w:ilvl="3">
      <w:start w:val="1"/>
      <w:numFmt w:val="decimal"/>
      <w:lvlText w:val="%1.%2.%3.%4."/>
      <w:lvlJc w:val="left"/>
      <w:pPr>
        <w:ind w:left="1638" w:hanging="567"/>
      </w:pPr>
      <w:rPr>
        <w:rFonts w:hint="default"/>
      </w:rPr>
    </w:lvl>
    <w:lvl w:ilvl="4">
      <w:start w:val="1"/>
      <w:numFmt w:val="decimal"/>
      <w:lvlText w:val="%1.%2.%3.%4.%5."/>
      <w:lvlJc w:val="left"/>
      <w:pPr>
        <w:ind w:left="1995" w:hanging="567"/>
      </w:pPr>
      <w:rPr>
        <w:rFonts w:hint="default"/>
      </w:rPr>
    </w:lvl>
    <w:lvl w:ilvl="5">
      <w:start w:val="1"/>
      <w:numFmt w:val="decimal"/>
      <w:lvlText w:val="%1.%2.%3.%4.%5.%6."/>
      <w:lvlJc w:val="left"/>
      <w:pPr>
        <w:ind w:left="2352" w:hanging="567"/>
      </w:pPr>
      <w:rPr>
        <w:rFonts w:hint="default"/>
      </w:rPr>
    </w:lvl>
    <w:lvl w:ilvl="6">
      <w:start w:val="1"/>
      <w:numFmt w:val="decimal"/>
      <w:lvlText w:val="%1.%2.%3.%4.%5.%6.%7."/>
      <w:lvlJc w:val="left"/>
      <w:pPr>
        <w:ind w:left="2709" w:hanging="567"/>
      </w:pPr>
      <w:rPr>
        <w:rFonts w:hint="default"/>
      </w:rPr>
    </w:lvl>
    <w:lvl w:ilvl="7">
      <w:start w:val="1"/>
      <w:numFmt w:val="decimal"/>
      <w:lvlText w:val="%1.%2.%3.%4.%5.%6.%7.%8."/>
      <w:lvlJc w:val="left"/>
      <w:pPr>
        <w:ind w:left="3066" w:hanging="567"/>
      </w:pPr>
      <w:rPr>
        <w:rFonts w:hint="default"/>
      </w:rPr>
    </w:lvl>
    <w:lvl w:ilvl="8">
      <w:start w:val="1"/>
      <w:numFmt w:val="decimal"/>
      <w:lvlText w:val="%1.%2.%3.%4.%5.%6.%7.%8.%9."/>
      <w:lvlJc w:val="left"/>
      <w:pPr>
        <w:ind w:left="3423" w:hanging="567"/>
      </w:pPr>
      <w:rPr>
        <w:rFonts w:hint="default"/>
      </w:rPr>
    </w:lvl>
  </w:abstractNum>
  <w:abstractNum w:abstractNumId="1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9C37E91"/>
    <w:multiLevelType w:val="multilevel"/>
    <w:tmpl w:val="DF88F54E"/>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0674FE9"/>
    <w:multiLevelType w:val="multilevel"/>
    <w:tmpl w:val="2C88A404"/>
    <w:lvl w:ilvl="0">
      <w:start w:val="1"/>
      <w:numFmt w:val="decimal"/>
      <w:lvlText w:val="Agenda Item %1"/>
      <w:lvlJc w:val="left"/>
      <w:pPr>
        <w:tabs>
          <w:tab w:val="num" w:pos="567"/>
        </w:tabs>
        <w:ind w:left="567" w:hanging="567"/>
      </w:pPr>
      <w:rPr>
        <w:rFonts w:ascii="Arial" w:hAnsi="Arial" w:hint="default"/>
        <w:b/>
        <w:i w:val="0"/>
        <w:sz w:val="24"/>
        <w:szCs w:val="24"/>
      </w:rPr>
    </w:lvl>
    <w:lvl w:ilvl="1">
      <w:start w:val="1"/>
      <w:numFmt w:val="decimal"/>
      <w:lvlText w:val="%1.%2"/>
      <w:lvlJc w:val="left"/>
      <w:pPr>
        <w:tabs>
          <w:tab w:val="num" w:pos="1419"/>
        </w:tabs>
        <w:ind w:left="1419" w:hanging="851"/>
      </w:pPr>
      <w:rPr>
        <w:rFonts w:hint="default"/>
        <w:color w:val="auto"/>
      </w:rPr>
    </w:lvl>
    <w:lvl w:ilvl="2">
      <w:start w:val="1"/>
      <w:numFmt w:val="decimal"/>
      <w:lvlText w:val="%1.%2.%3"/>
      <w:lvlJc w:val="left"/>
      <w:pPr>
        <w:tabs>
          <w:tab w:val="num" w:pos="2268"/>
        </w:tabs>
        <w:ind w:left="2268" w:hanging="850"/>
      </w:pPr>
      <w:rPr>
        <w:rFonts w:hint="default"/>
        <w:color w:val="auto"/>
      </w:rPr>
    </w:lvl>
    <w:lvl w:ilvl="3">
      <w:start w:val="1"/>
      <w:numFmt w:val="decimal"/>
      <w:lvlText w:val="%1.%3.%2.%4."/>
      <w:lvlJc w:val="left"/>
      <w:pPr>
        <w:tabs>
          <w:tab w:val="num" w:pos="3119"/>
        </w:tabs>
        <w:ind w:left="3119" w:hanging="851"/>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956DA"/>
    <w:multiLevelType w:val="multilevel"/>
    <w:tmpl w:val="D8EEB69E"/>
    <w:lvl w:ilvl="0">
      <w:start w:val="1"/>
      <w:numFmt w:val="decimal"/>
      <w:lvlText w:val="Agenda item %1"/>
      <w:lvlJc w:val="left"/>
      <w:pPr>
        <w:tabs>
          <w:tab w:val="num" w:pos="2268"/>
        </w:tabs>
        <w:ind w:left="2268" w:hanging="2268"/>
      </w:pPr>
      <w:rPr>
        <w:rFonts w:ascii="Arial Bold" w:hAnsi="Arial Bold" w:hint="default"/>
        <w:b/>
        <w:i w:val="0"/>
        <w:sz w:val="24"/>
      </w:rPr>
    </w:lvl>
    <w:lvl w:ilvl="1">
      <w:start w:val="1"/>
      <w:numFmt w:val="decimal"/>
      <w:lvlText w:val="Agenda item %1.%2"/>
      <w:lvlJc w:val="left"/>
      <w:pPr>
        <w:tabs>
          <w:tab w:val="num" w:pos="1985"/>
        </w:tabs>
        <w:ind w:left="1985" w:hanging="1985"/>
      </w:pPr>
      <w:rPr>
        <w:rFonts w:ascii="Arial" w:hAnsi="Arial" w:hint="default"/>
        <w:b w:val="0"/>
        <w:i w:val="0"/>
        <w:sz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0B4709F"/>
    <w:multiLevelType w:val="hybridMultilevel"/>
    <w:tmpl w:val="FB6280EA"/>
    <w:lvl w:ilvl="0" w:tplc="F00A79E2">
      <w:start w:val="1"/>
      <w:numFmt w:val="decimal"/>
      <w:lvlText w:val="%1)"/>
      <w:lvlJc w:val="left"/>
      <w:pPr>
        <w:ind w:left="720" w:hanging="360"/>
      </w:pPr>
      <w:rPr>
        <w:rFonts w:hint="default"/>
        <w:vertAlign w:val="superscrip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9B424D"/>
    <w:multiLevelType w:val="hybridMultilevel"/>
    <w:tmpl w:val="FA4A8BFE"/>
    <w:lvl w:ilvl="0" w:tplc="1C6A721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34" w15:restartNumberingAfterBreak="0">
    <w:nsid w:val="4A8C31DD"/>
    <w:multiLevelType w:val="hybridMultilevel"/>
    <w:tmpl w:val="46EC3D80"/>
    <w:lvl w:ilvl="0" w:tplc="D0D2BED8">
      <w:start w:val="1"/>
      <w:numFmt w:val="bullet"/>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35" w15:restartNumberingAfterBreak="0">
    <w:nsid w:val="4BC63137"/>
    <w:multiLevelType w:val="hybridMultilevel"/>
    <w:tmpl w:val="C34E4054"/>
    <w:lvl w:ilvl="0" w:tplc="537E9A62">
      <w:start w:val="1"/>
      <w:numFmt w:val="bullet"/>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EEC6DE5"/>
    <w:multiLevelType w:val="hybridMultilevel"/>
    <w:tmpl w:val="B5D2CD3A"/>
    <w:lvl w:ilvl="0" w:tplc="5234F282">
      <w:start w:val="1"/>
      <w:numFmt w:val="decimal"/>
      <w:lvlText w:val="Working Group %1"/>
      <w:lvlJc w:val="left"/>
      <w:pPr>
        <w:ind w:left="360" w:hanging="360"/>
      </w:pPr>
      <w:rPr>
        <w:rFonts w:ascii="Arial" w:hAnsi="Arial"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4D7133F"/>
    <w:multiLevelType w:val="hybridMultilevel"/>
    <w:tmpl w:val="F96C2F4E"/>
    <w:lvl w:ilvl="0" w:tplc="814E0270">
      <w:start w:val="19"/>
      <w:numFmt w:val="bullet"/>
      <w:lvlText w:val=""/>
      <w:lvlJc w:val="left"/>
      <w:pPr>
        <w:ind w:left="720" w:hanging="360"/>
      </w:pPr>
      <w:rPr>
        <w:rFonts w:ascii="Symbol" w:eastAsiaTheme="minorHAnsi" w:hAnsi="Symbol"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8B023C7"/>
    <w:multiLevelType w:val="multilevel"/>
    <w:tmpl w:val="D77097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2.%3.%1"/>
      <w:lvlJc w:val="left"/>
      <w:pPr>
        <w:tabs>
          <w:tab w:val="num" w:pos="1985"/>
        </w:tabs>
        <w:ind w:left="1985" w:hanging="851"/>
      </w:pPr>
      <w:rPr>
        <w:rFonts w:hint="default"/>
      </w:rPr>
    </w:lvl>
    <w:lvl w:ilvl="3">
      <w:start w:val="1"/>
      <w:numFmt w:val="decimal"/>
      <w:lvlText w:val="(%4)"/>
      <w:lvlJc w:val="left"/>
      <w:pPr>
        <w:ind w:left="2007" w:hanging="360"/>
      </w:pPr>
      <w:rPr>
        <w:rFonts w:hint="default"/>
      </w:rPr>
    </w:lvl>
    <w:lvl w:ilvl="4">
      <w:start w:val="1"/>
      <w:numFmt w:val="lowerLetter"/>
      <w:lvlText w:val="(%5)"/>
      <w:lvlJc w:val="left"/>
      <w:pPr>
        <w:ind w:left="2367" w:hanging="360"/>
      </w:pPr>
      <w:rPr>
        <w:rFonts w:hint="default"/>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0585238"/>
    <w:multiLevelType w:val="multilevel"/>
    <w:tmpl w:val="34CCF486"/>
    <w:lvl w:ilvl="0">
      <w:start w:val="1"/>
      <w:numFmt w:val="upperLetter"/>
      <w:lvlText w:val="ANNEX %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69C911C1"/>
    <w:multiLevelType w:val="hybridMultilevel"/>
    <w:tmpl w:val="8FE85B12"/>
    <w:lvl w:ilvl="0" w:tplc="199CD09C">
      <w:start w:val="19"/>
      <w:numFmt w:val="bullet"/>
      <w:lvlText w:val=""/>
      <w:lvlJc w:val="left"/>
      <w:pPr>
        <w:ind w:left="720" w:hanging="360"/>
      </w:pPr>
      <w:rPr>
        <w:rFonts w:ascii="Symbol" w:eastAsiaTheme="minorHAnsi" w:hAnsi="Symbol"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8"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7B65365"/>
    <w:multiLevelType w:val="multilevel"/>
    <w:tmpl w:val="1898C208"/>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8BA4B1E"/>
    <w:multiLevelType w:val="multilevel"/>
    <w:tmpl w:val="CC427BA6"/>
    <w:lvl w:ilvl="0">
      <w:start w:val="1"/>
      <w:numFmt w:val="decimal"/>
      <w:lvlText w:val="%1"/>
      <w:lvlJc w:val="left"/>
      <w:pPr>
        <w:tabs>
          <w:tab w:val="num" w:pos="567"/>
        </w:tabs>
        <w:ind w:left="567" w:hanging="567"/>
      </w:pPr>
      <w:rPr>
        <w:rFonts w:ascii="Arial" w:hAnsi="Arial" w:hint="default"/>
        <w:b w:val="0"/>
        <w:i w:val="0"/>
        <w:sz w:val="22"/>
        <w:szCs w:val="22"/>
      </w:rPr>
    </w:lvl>
    <w:lvl w:ilvl="1">
      <w:start w:val="1"/>
      <w:numFmt w:val="lowerLetter"/>
      <w:lvlText w:val="%2"/>
      <w:lvlJc w:val="left"/>
      <w:pPr>
        <w:tabs>
          <w:tab w:val="num" w:pos="993"/>
        </w:tabs>
        <w:ind w:left="993" w:hanging="567"/>
      </w:pPr>
      <w:rPr>
        <w:rFonts w:ascii="Arial" w:hAnsi="Arial" w:hint="default"/>
        <w:b w:val="0"/>
        <w:i w:val="0"/>
        <w:sz w:val="22"/>
        <w:szCs w:val="22"/>
      </w:rPr>
    </w:lvl>
    <w:lvl w:ilvl="2">
      <w:start w:val="1"/>
      <w:numFmt w:val="lowerRoman"/>
      <w:lvlText w:val="%3)"/>
      <w:lvlJc w:val="left"/>
      <w:pPr>
        <w:tabs>
          <w:tab w:val="num" w:pos="1647"/>
        </w:tabs>
        <w:ind w:left="1647" w:hanging="360"/>
      </w:pPr>
      <w:rPr>
        <w:rFonts w:hint="default"/>
      </w:rPr>
    </w:lvl>
    <w:lvl w:ilvl="3">
      <w:start w:val="1"/>
      <w:numFmt w:val="decimal"/>
      <w:lvlText w:val="(%4)"/>
      <w:lvlJc w:val="left"/>
      <w:pPr>
        <w:tabs>
          <w:tab w:val="num" w:pos="2007"/>
        </w:tabs>
        <w:ind w:left="2007" w:hanging="360"/>
      </w:pPr>
      <w:rPr>
        <w:rFonts w:hint="default"/>
      </w:rPr>
    </w:lvl>
    <w:lvl w:ilvl="4">
      <w:start w:val="1"/>
      <w:numFmt w:val="lowerLetter"/>
      <w:lvlText w:val="(%5)"/>
      <w:lvlJc w:val="left"/>
      <w:pPr>
        <w:tabs>
          <w:tab w:val="num" w:pos="2367"/>
        </w:tabs>
        <w:ind w:left="2367" w:hanging="360"/>
      </w:pPr>
      <w:rPr>
        <w:rFonts w:hint="default"/>
      </w:rPr>
    </w:lvl>
    <w:lvl w:ilvl="5">
      <w:start w:val="1"/>
      <w:numFmt w:val="lowerRoman"/>
      <w:lvlText w:val="(%6)"/>
      <w:lvlJc w:val="left"/>
      <w:pPr>
        <w:tabs>
          <w:tab w:val="num" w:pos="2727"/>
        </w:tabs>
        <w:ind w:left="2727" w:hanging="360"/>
      </w:pPr>
      <w:rPr>
        <w:rFonts w:hint="default"/>
      </w:rPr>
    </w:lvl>
    <w:lvl w:ilvl="6">
      <w:start w:val="1"/>
      <w:numFmt w:val="decimal"/>
      <w:lvlText w:val="%7."/>
      <w:lvlJc w:val="left"/>
      <w:pPr>
        <w:tabs>
          <w:tab w:val="num" w:pos="3087"/>
        </w:tabs>
        <w:ind w:left="3087" w:hanging="360"/>
      </w:pPr>
      <w:rPr>
        <w:rFonts w:hint="default"/>
      </w:rPr>
    </w:lvl>
    <w:lvl w:ilvl="7">
      <w:start w:val="1"/>
      <w:numFmt w:val="lowerLetter"/>
      <w:lvlText w:val="%8."/>
      <w:lvlJc w:val="left"/>
      <w:pPr>
        <w:tabs>
          <w:tab w:val="num" w:pos="3447"/>
        </w:tabs>
        <w:ind w:left="3447" w:hanging="360"/>
      </w:pPr>
      <w:rPr>
        <w:rFonts w:hint="default"/>
      </w:rPr>
    </w:lvl>
    <w:lvl w:ilvl="8">
      <w:start w:val="1"/>
      <w:numFmt w:val="lowerRoman"/>
      <w:lvlText w:val="%9."/>
      <w:lvlJc w:val="left"/>
      <w:pPr>
        <w:tabs>
          <w:tab w:val="num" w:pos="3807"/>
        </w:tabs>
        <w:ind w:left="3807" w:hanging="360"/>
      </w:pPr>
      <w:rPr>
        <w:rFonts w:hint="default"/>
      </w:rPr>
    </w:lvl>
  </w:abstractNum>
  <w:abstractNum w:abstractNumId="51"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98357695">
    <w:abstractNumId w:val="7"/>
  </w:num>
  <w:num w:numId="2" w16cid:durableId="1270940118">
    <w:abstractNumId w:val="2"/>
  </w:num>
  <w:num w:numId="3" w16cid:durableId="1216504847">
    <w:abstractNumId w:val="18"/>
  </w:num>
  <w:num w:numId="4" w16cid:durableId="107896752">
    <w:abstractNumId w:val="42"/>
  </w:num>
  <w:num w:numId="5" w16cid:durableId="2053075715">
    <w:abstractNumId w:val="31"/>
  </w:num>
  <w:num w:numId="6" w16cid:durableId="1488209584">
    <w:abstractNumId w:val="11"/>
  </w:num>
  <w:num w:numId="7" w16cid:durableId="15153508">
    <w:abstractNumId w:val="46"/>
  </w:num>
  <w:num w:numId="8" w16cid:durableId="1929996310">
    <w:abstractNumId w:val="26"/>
  </w:num>
  <w:num w:numId="9" w16cid:durableId="799765620">
    <w:abstractNumId w:val="20"/>
  </w:num>
  <w:num w:numId="10" w16cid:durableId="569657594">
    <w:abstractNumId w:val="35"/>
  </w:num>
  <w:num w:numId="11" w16cid:durableId="2082634052">
    <w:abstractNumId w:val="34"/>
  </w:num>
  <w:num w:numId="12" w16cid:durableId="1075010224">
    <w:abstractNumId w:val="30"/>
  </w:num>
  <w:num w:numId="13" w16cid:durableId="1885633409">
    <w:abstractNumId w:val="43"/>
  </w:num>
  <w:num w:numId="14" w16cid:durableId="237250426">
    <w:abstractNumId w:val="16"/>
  </w:num>
  <w:num w:numId="15" w16cid:durableId="405808463">
    <w:abstractNumId w:val="50"/>
  </w:num>
  <w:num w:numId="16" w16cid:durableId="1894273265">
    <w:abstractNumId w:val="29"/>
  </w:num>
  <w:num w:numId="17" w16cid:durableId="1689524812">
    <w:abstractNumId w:val="17"/>
  </w:num>
  <w:num w:numId="18" w16cid:durableId="316342684">
    <w:abstractNumId w:val="38"/>
  </w:num>
  <w:num w:numId="19" w16cid:durableId="1047874461">
    <w:abstractNumId w:val="29"/>
  </w:num>
  <w:num w:numId="20" w16cid:durableId="2013683921">
    <w:abstractNumId w:val="29"/>
  </w:num>
  <w:num w:numId="21" w16cid:durableId="938174605">
    <w:abstractNumId w:val="29"/>
  </w:num>
  <w:num w:numId="22" w16cid:durableId="695237297">
    <w:abstractNumId w:val="29"/>
  </w:num>
  <w:num w:numId="23" w16cid:durableId="1636450932">
    <w:abstractNumId w:val="40"/>
  </w:num>
  <w:num w:numId="24" w16cid:durableId="751514618">
    <w:abstractNumId w:val="10"/>
  </w:num>
  <w:num w:numId="25" w16cid:durableId="786390046">
    <w:abstractNumId w:val="10"/>
  </w:num>
  <w:num w:numId="26" w16cid:durableId="2010017422">
    <w:abstractNumId w:val="10"/>
  </w:num>
  <w:num w:numId="27" w16cid:durableId="670838699">
    <w:abstractNumId w:val="22"/>
  </w:num>
  <w:num w:numId="28" w16cid:durableId="1745253335">
    <w:abstractNumId w:val="22"/>
  </w:num>
  <w:num w:numId="29" w16cid:durableId="766267876">
    <w:abstractNumId w:val="22"/>
  </w:num>
  <w:num w:numId="30" w16cid:durableId="1260722418">
    <w:abstractNumId w:val="22"/>
  </w:num>
  <w:num w:numId="31" w16cid:durableId="650328378">
    <w:abstractNumId w:val="22"/>
  </w:num>
  <w:num w:numId="32" w16cid:durableId="1616446184">
    <w:abstractNumId w:val="22"/>
  </w:num>
  <w:num w:numId="33" w16cid:durableId="1920289897">
    <w:abstractNumId w:val="36"/>
  </w:num>
  <w:num w:numId="34" w16cid:durableId="59787824">
    <w:abstractNumId w:val="36"/>
  </w:num>
  <w:num w:numId="35" w16cid:durableId="733089590">
    <w:abstractNumId w:val="36"/>
  </w:num>
  <w:num w:numId="36" w16cid:durableId="1601572615">
    <w:abstractNumId w:val="27"/>
  </w:num>
  <w:num w:numId="37" w16cid:durableId="1734691911">
    <w:abstractNumId w:val="16"/>
  </w:num>
  <w:num w:numId="38" w16cid:durableId="1484084670">
    <w:abstractNumId w:val="30"/>
  </w:num>
  <w:num w:numId="39" w16cid:durableId="721946762">
    <w:abstractNumId w:val="29"/>
  </w:num>
  <w:num w:numId="40" w16cid:durableId="5653798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42447454">
    <w:abstractNumId w:val="9"/>
  </w:num>
  <w:num w:numId="42" w16cid:durableId="15176908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64038691">
    <w:abstractNumId w:val="9"/>
  </w:num>
  <w:num w:numId="44" w16cid:durableId="442577849">
    <w:abstractNumId w:val="28"/>
  </w:num>
  <w:num w:numId="45" w16cid:durableId="44986985">
    <w:abstractNumId w:val="32"/>
  </w:num>
  <w:num w:numId="46" w16cid:durableId="2032296355">
    <w:abstractNumId w:val="51"/>
  </w:num>
  <w:num w:numId="47" w16cid:durableId="20011155">
    <w:abstractNumId w:val="13"/>
  </w:num>
  <w:num w:numId="48" w16cid:durableId="995378831">
    <w:abstractNumId w:val="21"/>
  </w:num>
  <w:num w:numId="49" w16cid:durableId="1937711834">
    <w:abstractNumId w:val="14"/>
  </w:num>
  <w:num w:numId="50" w16cid:durableId="289212901">
    <w:abstractNumId w:val="12"/>
  </w:num>
  <w:num w:numId="51" w16cid:durableId="1188912751">
    <w:abstractNumId w:val="19"/>
  </w:num>
  <w:num w:numId="52" w16cid:durableId="2021200158">
    <w:abstractNumId w:val="44"/>
  </w:num>
  <w:num w:numId="53" w16cid:durableId="727847924">
    <w:abstractNumId w:val="48"/>
  </w:num>
  <w:num w:numId="54" w16cid:durableId="1075740127">
    <w:abstractNumId w:val="15"/>
  </w:num>
  <w:num w:numId="55" w16cid:durableId="84032698">
    <w:abstractNumId w:val="49"/>
  </w:num>
  <w:num w:numId="56" w16cid:durableId="1718509969">
    <w:abstractNumId w:val="41"/>
  </w:num>
  <w:num w:numId="57" w16cid:durableId="1244026323">
    <w:abstractNumId w:val="25"/>
  </w:num>
  <w:num w:numId="58" w16cid:durableId="378287536">
    <w:abstractNumId w:val="8"/>
  </w:num>
  <w:num w:numId="59" w16cid:durableId="86930290">
    <w:abstractNumId w:val="6"/>
  </w:num>
  <w:num w:numId="60" w16cid:durableId="560335962">
    <w:abstractNumId w:val="5"/>
  </w:num>
  <w:num w:numId="61" w16cid:durableId="68357240">
    <w:abstractNumId w:val="4"/>
  </w:num>
  <w:num w:numId="62" w16cid:durableId="804853787">
    <w:abstractNumId w:val="3"/>
  </w:num>
  <w:num w:numId="63" w16cid:durableId="2134248821">
    <w:abstractNumId w:val="1"/>
  </w:num>
  <w:num w:numId="64" w16cid:durableId="409237379">
    <w:abstractNumId w:val="0"/>
  </w:num>
  <w:num w:numId="65" w16cid:durableId="995912383">
    <w:abstractNumId w:val="37"/>
  </w:num>
  <w:num w:numId="66" w16cid:durableId="252781962">
    <w:abstractNumId w:val="47"/>
  </w:num>
  <w:num w:numId="67" w16cid:durableId="1654603435">
    <w:abstractNumId w:val="24"/>
  </w:num>
  <w:num w:numId="68" w16cid:durableId="9866702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08937541">
    <w:abstractNumId w:val="23"/>
  </w:num>
  <w:num w:numId="70" w16cid:durableId="19790658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315889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520971118">
    <w:abstractNumId w:val="33"/>
  </w:num>
  <w:num w:numId="73" w16cid:durableId="555971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72008178">
    <w:abstractNumId w:val="45"/>
  </w:num>
  <w:num w:numId="75" w16cid:durableId="228080555">
    <w:abstractNumId w:val="3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1707"/>
    <w:rsid w:val="000C1B3E"/>
    <w:rsid w:val="000C349E"/>
    <w:rsid w:val="00110203"/>
    <w:rsid w:val="00110AE7"/>
    <w:rsid w:val="001241C8"/>
    <w:rsid w:val="00177F4D"/>
    <w:rsid w:val="00180DDA"/>
    <w:rsid w:val="001B2A2D"/>
    <w:rsid w:val="001B737D"/>
    <w:rsid w:val="001C44A3"/>
    <w:rsid w:val="001C77BB"/>
    <w:rsid w:val="001E0E15"/>
    <w:rsid w:val="001F528A"/>
    <w:rsid w:val="001F704E"/>
    <w:rsid w:val="00201722"/>
    <w:rsid w:val="002125B0"/>
    <w:rsid w:val="00221E08"/>
    <w:rsid w:val="00237D7C"/>
    <w:rsid w:val="00243228"/>
    <w:rsid w:val="00251483"/>
    <w:rsid w:val="00255CAA"/>
    <w:rsid w:val="0025741F"/>
    <w:rsid w:val="00264305"/>
    <w:rsid w:val="00286FEF"/>
    <w:rsid w:val="002A0346"/>
    <w:rsid w:val="002A08DE"/>
    <w:rsid w:val="002A0929"/>
    <w:rsid w:val="002A4487"/>
    <w:rsid w:val="002B49E9"/>
    <w:rsid w:val="002C632E"/>
    <w:rsid w:val="002D3E8B"/>
    <w:rsid w:val="002D4575"/>
    <w:rsid w:val="002D5C0C"/>
    <w:rsid w:val="002E03D1"/>
    <w:rsid w:val="002E6B74"/>
    <w:rsid w:val="002E6FCA"/>
    <w:rsid w:val="003351C4"/>
    <w:rsid w:val="0035243F"/>
    <w:rsid w:val="00356CD0"/>
    <w:rsid w:val="00362CD9"/>
    <w:rsid w:val="00375718"/>
    <w:rsid w:val="003761CA"/>
    <w:rsid w:val="0038049E"/>
    <w:rsid w:val="00380DAF"/>
    <w:rsid w:val="003972CE"/>
    <w:rsid w:val="003B2635"/>
    <w:rsid w:val="003B28F5"/>
    <w:rsid w:val="003B7B7D"/>
    <w:rsid w:val="003C0588"/>
    <w:rsid w:val="003C54CB"/>
    <w:rsid w:val="003C7A2A"/>
    <w:rsid w:val="003D25A2"/>
    <w:rsid w:val="003D2DC1"/>
    <w:rsid w:val="003D69D0"/>
    <w:rsid w:val="003F2918"/>
    <w:rsid w:val="003F430E"/>
    <w:rsid w:val="0041088C"/>
    <w:rsid w:val="0041230E"/>
    <w:rsid w:val="00420A38"/>
    <w:rsid w:val="00426DB3"/>
    <w:rsid w:val="00431B19"/>
    <w:rsid w:val="004372ED"/>
    <w:rsid w:val="004533B7"/>
    <w:rsid w:val="004661AD"/>
    <w:rsid w:val="004D1D85"/>
    <w:rsid w:val="004D3C3A"/>
    <w:rsid w:val="004E1CD1"/>
    <w:rsid w:val="004F7616"/>
    <w:rsid w:val="0050690E"/>
    <w:rsid w:val="005107EB"/>
    <w:rsid w:val="00521345"/>
    <w:rsid w:val="00525F0A"/>
    <w:rsid w:val="00526DF0"/>
    <w:rsid w:val="00545CC4"/>
    <w:rsid w:val="00551FFF"/>
    <w:rsid w:val="005607A2"/>
    <w:rsid w:val="0057198B"/>
    <w:rsid w:val="00573CFE"/>
    <w:rsid w:val="005969F2"/>
    <w:rsid w:val="00597FAE"/>
    <w:rsid w:val="005B32A3"/>
    <w:rsid w:val="005C0D44"/>
    <w:rsid w:val="005C566C"/>
    <w:rsid w:val="005C7E69"/>
    <w:rsid w:val="005E262D"/>
    <w:rsid w:val="005F23D3"/>
    <w:rsid w:val="005F7E20"/>
    <w:rsid w:val="00605E43"/>
    <w:rsid w:val="006153BB"/>
    <w:rsid w:val="00635ADD"/>
    <w:rsid w:val="00637047"/>
    <w:rsid w:val="006652C3"/>
    <w:rsid w:val="00691FD0"/>
    <w:rsid w:val="00692148"/>
    <w:rsid w:val="006A1A1E"/>
    <w:rsid w:val="006C5948"/>
    <w:rsid w:val="006E2121"/>
    <w:rsid w:val="006F2A74"/>
    <w:rsid w:val="007118F5"/>
    <w:rsid w:val="00712AA4"/>
    <w:rsid w:val="007146C4"/>
    <w:rsid w:val="00721AA1"/>
    <w:rsid w:val="00724B67"/>
    <w:rsid w:val="007547F8"/>
    <w:rsid w:val="00765622"/>
    <w:rsid w:val="00770B6C"/>
    <w:rsid w:val="00774730"/>
    <w:rsid w:val="00783FEA"/>
    <w:rsid w:val="007926DC"/>
    <w:rsid w:val="007A395D"/>
    <w:rsid w:val="007C346C"/>
    <w:rsid w:val="007D63E3"/>
    <w:rsid w:val="0080294B"/>
    <w:rsid w:val="00816F7E"/>
    <w:rsid w:val="0082480E"/>
    <w:rsid w:val="00850293"/>
    <w:rsid w:val="00851373"/>
    <w:rsid w:val="00851BA6"/>
    <w:rsid w:val="0085654D"/>
    <w:rsid w:val="00861160"/>
    <w:rsid w:val="00861801"/>
    <w:rsid w:val="0086497A"/>
    <w:rsid w:val="0086654F"/>
    <w:rsid w:val="008702A8"/>
    <w:rsid w:val="0087239B"/>
    <w:rsid w:val="00892CA4"/>
    <w:rsid w:val="00896A8C"/>
    <w:rsid w:val="0089719C"/>
    <w:rsid w:val="008A356F"/>
    <w:rsid w:val="008A3ECA"/>
    <w:rsid w:val="008A4653"/>
    <w:rsid w:val="008A4717"/>
    <w:rsid w:val="008A50CC"/>
    <w:rsid w:val="008D1694"/>
    <w:rsid w:val="008D79CB"/>
    <w:rsid w:val="008E28CC"/>
    <w:rsid w:val="008F07BC"/>
    <w:rsid w:val="008F131E"/>
    <w:rsid w:val="00904066"/>
    <w:rsid w:val="0092692B"/>
    <w:rsid w:val="00943E9C"/>
    <w:rsid w:val="00953F4D"/>
    <w:rsid w:val="00960BB8"/>
    <w:rsid w:val="00964F5C"/>
    <w:rsid w:val="00973B57"/>
    <w:rsid w:val="009831C0"/>
    <w:rsid w:val="009874F9"/>
    <w:rsid w:val="0099161D"/>
    <w:rsid w:val="009C5F41"/>
    <w:rsid w:val="00A01B17"/>
    <w:rsid w:val="00A0389B"/>
    <w:rsid w:val="00A26017"/>
    <w:rsid w:val="00A446C9"/>
    <w:rsid w:val="00A56C33"/>
    <w:rsid w:val="00A635D6"/>
    <w:rsid w:val="00A72757"/>
    <w:rsid w:val="00A800A9"/>
    <w:rsid w:val="00A8553A"/>
    <w:rsid w:val="00A93AED"/>
    <w:rsid w:val="00AE1319"/>
    <w:rsid w:val="00AE34BB"/>
    <w:rsid w:val="00B0084A"/>
    <w:rsid w:val="00B0520E"/>
    <w:rsid w:val="00B226F2"/>
    <w:rsid w:val="00B274DF"/>
    <w:rsid w:val="00B351F6"/>
    <w:rsid w:val="00B56BDF"/>
    <w:rsid w:val="00B65812"/>
    <w:rsid w:val="00B661C7"/>
    <w:rsid w:val="00B80530"/>
    <w:rsid w:val="00B85CD6"/>
    <w:rsid w:val="00B90A27"/>
    <w:rsid w:val="00B90ABE"/>
    <w:rsid w:val="00B93C77"/>
    <w:rsid w:val="00B9554D"/>
    <w:rsid w:val="00BA4DA9"/>
    <w:rsid w:val="00BB2B9F"/>
    <w:rsid w:val="00BB7D9E"/>
    <w:rsid w:val="00BC2334"/>
    <w:rsid w:val="00BD3CB8"/>
    <w:rsid w:val="00BD4E6F"/>
    <w:rsid w:val="00BE700D"/>
    <w:rsid w:val="00BF32F0"/>
    <w:rsid w:val="00BF4DCE"/>
    <w:rsid w:val="00C02DDD"/>
    <w:rsid w:val="00C05CE5"/>
    <w:rsid w:val="00C52A4D"/>
    <w:rsid w:val="00C6171E"/>
    <w:rsid w:val="00C865DF"/>
    <w:rsid w:val="00CA6F2C"/>
    <w:rsid w:val="00CC79CE"/>
    <w:rsid w:val="00CF1871"/>
    <w:rsid w:val="00D019CE"/>
    <w:rsid w:val="00D1133E"/>
    <w:rsid w:val="00D17A34"/>
    <w:rsid w:val="00D26628"/>
    <w:rsid w:val="00D332B3"/>
    <w:rsid w:val="00D41D84"/>
    <w:rsid w:val="00D423E5"/>
    <w:rsid w:val="00D55207"/>
    <w:rsid w:val="00D60825"/>
    <w:rsid w:val="00D81801"/>
    <w:rsid w:val="00D92B45"/>
    <w:rsid w:val="00D95962"/>
    <w:rsid w:val="00DC389B"/>
    <w:rsid w:val="00DE2FEE"/>
    <w:rsid w:val="00E00BE9"/>
    <w:rsid w:val="00E04761"/>
    <w:rsid w:val="00E22A11"/>
    <w:rsid w:val="00E31E5C"/>
    <w:rsid w:val="00E44DD2"/>
    <w:rsid w:val="00E47DCF"/>
    <w:rsid w:val="00E558C3"/>
    <w:rsid w:val="00E55927"/>
    <w:rsid w:val="00E912A6"/>
    <w:rsid w:val="00EA4844"/>
    <w:rsid w:val="00EA4D9C"/>
    <w:rsid w:val="00EA5A97"/>
    <w:rsid w:val="00EB75EE"/>
    <w:rsid w:val="00EE4C1D"/>
    <w:rsid w:val="00EF3685"/>
    <w:rsid w:val="00F04350"/>
    <w:rsid w:val="00F1145F"/>
    <w:rsid w:val="00F133DB"/>
    <w:rsid w:val="00F159EB"/>
    <w:rsid w:val="00F25BF4"/>
    <w:rsid w:val="00F267DB"/>
    <w:rsid w:val="00F46F6F"/>
    <w:rsid w:val="00F60608"/>
    <w:rsid w:val="00F62217"/>
    <w:rsid w:val="00F71ACC"/>
    <w:rsid w:val="00FB17A9"/>
    <w:rsid w:val="00FB29F9"/>
    <w:rsid w:val="00FB527C"/>
    <w:rsid w:val="00FB6F75"/>
    <w:rsid w:val="00FC0EB3"/>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52"/>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rsid w:val="0025741F"/>
    <w:pPr>
      <w:numPr>
        <w:numId w:val="47"/>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5"/>
      </w:numPr>
      <w:spacing w:before="120" w:after="120"/>
      <w:jc w:val="center"/>
    </w:pPr>
    <w:rPr>
      <w:i/>
    </w:rPr>
  </w:style>
  <w:style w:type="paragraph" w:customStyle="1" w:styleId="AnnexHeading1">
    <w:name w:val="Annex Heading 1"/>
    <w:basedOn w:val="Normal"/>
    <w:next w:val="BodyText"/>
    <w:rsid w:val="008D1694"/>
    <w:pPr>
      <w:numPr>
        <w:numId w:val="6"/>
      </w:numPr>
      <w:spacing w:before="120" w:after="120"/>
    </w:pPr>
    <w:rPr>
      <w:rFonts w:cs="Arial"/>
      <w:b/>
      <w:caps/>
      <w:sz w:val="24"/>
    </w:rPr>
  </w:style>
  <w:style w:type="paragraph" w:customStyle="1" w:styleId="AnnexHeading2">
    <w:name w:val="Annex Heading 2"/>
    <w:basedOn w:val="Normal"/>
    <w:next w:val="BodyText"/>
    <w:rsid w:val="008D1694"/>
    <w:pPr>
      <w:numPr>
        <w:ilvl w:val="1"/>
        <w:numId w:val="6"/>
      </w:numPr>
      <w:spacing w:before="120" w:after="120"/>
    </w:pPr>
    <w:rPr>
      <w:rFonts w:cs="Arial"/>
      <w:b/>
    </w:rPr>
  </w:style>
  <w:style w:type="paragraph" w:customStyle="1" w:styleId="AnnexHeading3">
    <w:name w:val="Annex Heading 3"/>
    <w:basedOn w:val="Normal"/>
    <w:next w:val="Normal"/>
    <w:rsid w:val="008D1694"/>
    <w:pPr>
      <w:numPr>
        <w:ilvl w:val="2"/>
        <w:numId w:val="6"/>
      </w:numPr>
      <w:spacing w:before="120" w:after="120"/>
    </w:pPr>
    <w:rPr>
      <w:rFonts w:cs="Arial"/>
    </w:rPr>
  </w:style>
  <w:style w:type="paragraph" w:customStyle="1" w:styleId="AnnexHeading4">
    <w:name w:val="Annex Heading 4"/>
    <w:basedOn w:val="Normal"/>
    <w:next w:val="BodyText"/>
    <w:rsid w:val="008D1694"/>
    <w:pPr>
      <w:numPr>
        <w:ilvl w:val="3"/>
        <w:numId w:val="6"/>
      </w:numPr>
      <w:spacing w:before="120" w:after="120"/>
    </w:pPr>
    <w:rPr>
      <w:rFonts w:cs="Arial"/>
    </w:rPr>
  </w:style>
  <w:style w:type="paragraph" w:customStyle="1" w:styleId="AnnexTable">
    <w:name w:val="Annex Table"/>
    <w:basedOn w:val="Normal"/>
    <w:next w:val="Normal"/>
    <w:rsid w:val="008D1694"/>
    <w:pPr>
      <w:numPr>
        <w:numId w:val="7"/>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45"/>
      </w:numPr>
      <w:spacing w:after="120"/>
      <w:ind w:left="992" w:hanging="425"/>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46"/>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53"/>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13"/>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rsid w:val="0025741F"/>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39"/>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39"/>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18"/>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9"/>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39"/>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8"/>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8"/>
      </w:numPr>
      <w:spacing w:before="120" w:after="120"/>
    </w:pPr>
    <w:rPr>
      <w:rFonts w:cs="Arial"/>
      <w:b/>
    </w:rPr>
  </w:style>
  <w:style w:type="paragraph" w:customStyle="1" w:styleId="AppendixHeading3">
    <w:name w:val="Appendix Heading 3"/>
    <w:basedOn w:val="Normal"/>
    <w:next w:val="Normal"/>
    <w:rsid w:val="008D1694"/>
    <w:pPr>
      <w:numPr>
        <w:ilvl w:val="2"/>
        <w:numId w:val="8"/>
      </w:numPr>
      <w:spacing w:before="120" w:after="120"/>
    </w:pPr>
    <w:rPr>
      <w:rFonts w:cs="Arial"/>
    </w:rPr>
  </w:style>
  <w:style w:type="paragraph" w:customStyle="1" w:styleId="AppendixHeading4">
    <w:name w:val="Appendix Heading 4"/>
    <w:basedOn w:val="Normal"/>
    <w:next w:val="BodyText"/>
    <w:rsid w:val="008D1694"/>
    <w:pPr>
      <w:numPr>
        <w:ilvl w:val="3"/>
        <w:numId w:val="8"/>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54"/>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5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47"/>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50"/>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49"/>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66"/>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66"/>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48"/>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69"/>
      </w:numPr>
      <w:jc w:val="center"/>
    </w:pPr>
    <w:rPr>
      <w:i/>
      <w:color w:val="00558C"/>
      <w:lang w:eastAsia="en-GB"/>
    </w:rPr>
  </w:style>
  <w:style w:type="paragraph" w:customStyle="1" w:styleId="Figurecaption">
    <w:name w:val="Figure caption"/>
    <w:basedOn w:val="Caption"/>
    <w:next w:val="BodyText"/>
    <w:qFormat/>
    <w:rsid w:val="0025741F"/>
    <w:pPr>
      <w:numPr>
        <w:numId w:val="51"/>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17"/>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56"/>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57"/>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67"/>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5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D41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iho-ohi/S-125-Product-Specification-Development/releases/tag/ed1.0.0"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4B32D51E-7501-4009-AD5B-5521A581D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e7293bf-545a-4907-bcb4-62ff40e1659b}" enabled="1" method="Standard" siteId="{a1fe7b1a-744e-4ced-981b-fa7841e761e8}" contentBits="0" removed="0"/>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939</Words>
  <Characters>4958</Characters>
  <Application>Microsoft Office Word</Application>
  <DocSecurity>0</DocSecurity>
  <Lines>90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4</cp:revision>
  <dcterms:created xsi:type="dcterms:W3CDTF">2026-04-17T09:30:00Z</dcterms:created>
  <dcterms:modified xsi:type="dcterms:W3CDTF">2026-04-20T07:58:00Z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ies>
</file>